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微软雅黑"/>
          <w:b/>
          <w:sz w:val="36"/>
        </w:rPr>
        <w:t>密改情况调研表：智慧营养健康餐厅高详填写版</w:t>
      </w:r>
    </w:p>
    <w:p>
      <w:r>
        <w:rPr>
          <w:rFonts w:ascii="Microsoft YaHei" w:hAnsi="Microsoft YaHei" w:eastAsia="微软雅黑"/>
          <w:b w:val="0"/>
          <w:sz w:val="21"/>
          <w:highlight w:val="yellow"/>
        </w:rPr>
        <w:t>说明：本表按标准产品能力 + 项目现场待确认的方式填写。黄色高亮为必须确认项。</w:t>
      </w:r>
    </w:p>
    <w:p>
      <w:pPr>
        <w:pStyle w:val="Heading1"/>
      </w:pPr>
      <w:r>
        <w:t>一、基础信息调研表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调研项</w:t>
            </w:r>
          </w:p>
        </w:tc>
        <w:tc>
          <w:tcPr>
            <w:tcW w:type="dxa" w:w="3456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详细填写建议</w:t>
            </w:r>
          </w:p>
        </w:tc>
        <w:tc>
          <w:tcPr>
            <w:tcW w:type="dxa" w:w="3456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黄色待确认项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系统名称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康比特智慧营养健康餐厅管理系统 V1.0；可补充 PC 管理后台、移动端/H5/小程序、智能硬件接口、AI营养健康、食安进销存模块。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待确认最终系统名称是否与软著、合同、等保、测试报告一致。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建设单位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北京康比特体育科技股份有限公司；单位地址、所属密码管理部门、单位类型按营业执照和属地主管部门填写。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待确认完整注册地址、经营地址、密码管理部门、单位类型。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是否可改造代码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是。系统为自研/可维护平台，可进行国密 HTTPS、接口签名验签、日志审计、权限、脱敏、敏感字段保护等改造。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待确认客户现场是否允许代码改造，第三方系统/设备是否不可改造。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上线运行情况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系统已有多项目应用基础，但应填写本次测评对象实际试运行/上线状态。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待确认试运行/正式上线时间、项目名称、当前运行环境。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备案情况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如已有等保备案，填写等级和编号；如新建系统，可按拟定等保三级准备。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待确认等保等级、备案编号、测评机构、报告日期。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机房国密门禁与监控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标准产品不决定机房门禁；如机房已有商密改造可填写，否则写待新加/替换或不适用。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待确认机房门禁/视频是否为国密产品、证书编号。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是否支持国密改造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支持按项目接入国密 SSL、SM2 证书、SM3 摘要、SM4 加密、接口签名验签、设备证书/密钥、高权限 UKey/证书认证。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待确认客户要求的国密算法、国密浏览器、网关、VPN、堡垒机、数据库加密。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堡垒机双因素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应用层支持账号权限和日志；堡垒机双因素取决于客户运维环境，建议高权限运维启用 MFA/UKey/证书。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待确认堡垒机品牌、认证方式、是否支持国密和日志导出。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机房位置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按实际填写机房名称、物理地址、安全域、互联网区/专网/数据区、数据库和备份位置。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待确认机房/云区域/网络分区。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用户网络类型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可能包括内网运维、专网/政务外网办公、互联网/微信端用户、设备接入、第三方接口。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待确认各类用户数量和网络类型。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设备类型及数量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办公电脑、移动端、消费机、称重台、膳食智能台、电子菜牌、打印机、取餐柜、售卖柜、摄像头等。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待确认实际设备型号、数量、协议、证书/密钥。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访问方法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正式建议 HTTPS；商密目标可升级国密浏览器 + 国密 HTTPS；HTTP 只建议内网临时/测试。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待确认现网是 HTTP、国际 HTTPS 还是国密 HTTPS。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不可否认性服务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系统可通过操作日志、交易流水、接口日志、导出日志、权限变更日志支撑业务追溯；如需法律效力签章另接 CA/电子签章/时间戳。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待确认是否涉及电子签名、电子签章、红头文件、公文。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其他情况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支持本地机房、客户云、混合部署；可能涉及视频监控/AI巡检、设备接入、国产化/信创、等保和数据安全。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待确认是否必须国产设备/信创，摄像头数量，是否允许实体设备上架。</w:t>
            </w:r>
          </w:p>
        </w:tc>
      </w:tr>
    </w:tbl>
    <w:p>
      <w:pPr>
        <w:pStyle w:val="Heading1"/>
      </w:pPr>
      <w:r>
        <w:t>二、商密改造建议范围</w:t>
      </w:r>
    </w:p>
    <w:p>
      <w:pPr>
        <w:pStyle w:val="Heading2"/>
      </w:pPr>
      <w:r>
        <w:t>身份鉴别</w:t>
      </w:r>
    </w:p>
    <w:p>
      <w:r>
        <w:rPr>
          <w:rFonts w:ascii="Microsoft YaHei" w:hAnsi="Microsoft YaHei" w:eastAsia="微软雅黑"/>
          <w:b w:val="0"/>
          <w:sz w:val="21"/>
        </w:rPr>
        <w:t>后台高权限用户建议 MFA/UKey/证书；设备接入使用设备编号、接口账号、密钥、时间戳、随机数、签名、防重放；第三方接口使用 appid/secret、IP 白名单、证书和签名验签。</w:t>
      </w:r>
    </w:p>
    <w:p>
      <w:pPr>
        <w:pStyle w:val="Heading2"/>
      </w:pPr>
      <w:r>
        <w:t>通信保护</w:t>
      </w:r>
    </w:p>
    <w:p>
      <w:r>
        <w:rPr>
          <w:rFonts w:ascii="Microsoft YaHei" w:hAnsi="Microsoft YaHei" w:eastAsia="微软雅黑"/>
          <w:b w:val="0"/>
          <w:sz w:val="21"/>
        </w:rPr>
        <w:t>PC、移动端、H5、小程序和外部接口使用 HTTPS；政企/商密场景升级国密 HTTPS/SSL；远程运维通过 VPN/堡垒机/专线，并开启审批和审计。</w:t>
      </w:r>
    </w:p>
    <w:p>
      <w:pPr>
        <w:pStyle w:val="Heading2"/>
      </w:pPr>
      <w:r>
        <w:t>数据保护</w:t>
      </w:r>
    </w:p>
    <w:p>
      <w:r>
        <w:rPr>
          <w:rFonts w:ascii="Microsoft YaHei" w:hAnsi="Microsoft YaHei" w:eastAsia="微软雅黑"/>
          <w:b w:val="0"/>
          <w:sz w:val="21"/>
        </w:rPr>
        <w:t>人员、消费、健康、人脸、营养、运营、食安、财务和接口数据按分类分级、最小必要、授权告知、权限控制、脱敏、导出审批、日志审计、备份恢复处理。</w:t>
      </w:r>
    </w:p>
    <w:p>
      <w:pPr>
        <w:pStyle w:val="Heading2"/>
      </w:pPr>
      <w:r>
        <w:t>日志审计</w:t>
      </w:r>
    </w:p>
    <w:p>
      <w:r>
        <w:rPr>
          <w:rFonts w:ascii="Microsoft YaHei" w:hAnsi="Microsoft YaHei" w:eastAsia="微软雅黑"/>
          <w:b w:val="0"/>
          <w:sz w:val="21"/>
        </w:rPr>
        <w:t>保留登录、操作、接口、设备、交易、充值、退款、权限变更、导出、异常、运维和备份日志，重点关注金额、权限、导出、接口和设备异常。</w:t>
      </w:r>
    </w:p>
    <w:p>
      <w:pPr>
        <w:pStyle w:val="Heading2"/>
      </w:pPr>
      <w:r>
        <w:t>证明材料</w:t>
      </w:r>
    </w:p>
    <w:p>
      <w:r>
        <w:rPr>
          <w:rFonts w:ascii="Microsoft YaHei" w:hAnsi="Microsoft YaHei" w:eastAsia="微软雅黑"/>
          <w:b w:val="0"/>
          <w:sz w:val="21"/>
        </w:rPr>
        <w:t>准备部署拓扑、服务器清单、网络分区、接口清单、设备清单、权限矩阵、日志截图、备份策略、等保/国产化/CNAS/ISO/软著证书原件。</w:t>
      </w:r>
    </w:p>
    <w:p>
      <w:r>
        <w:rPr>
          <w:rFonts w:ascii="Microsoft YaHei" w:hAnsi="Microsoft YaHei" w:eastAsia="微软雅黑"/>
          <w:b w:val="0"/>
          <w:sz w:val="21"/>
          <w:highlight w:val="yellow"/>
        </w:rPr>
        <w:t>待确认：证书/报告原件是否齐全，主体、产品名称、版本、有效期是否与本次系统一致。</w:t>
      </w:r>
    </w:p>
    <w:sectPr w:rsidR="00FC693F" w:rsidRPr="0006063C" w:rsidSect="00034616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